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6F0E" w14:textId="77777777" w:rsidR="008048B0" w:rsidRPr="00616CC5" w:rsidRDefault="008048B0" w:rsidP="008048B0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Anexo IV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4B85732B" w14:textId="77777777" w:rsidTr="009660EE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3F4E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1. EQUIPO INDUSTRIAL</w:t>
            </w:r>
          </w:p>
        </w:tc>
      </w:tr>
      <w:tr w:rsidR="008048B0" w:rsidRPr="00C835F1" w14:paraId="6EC59575" w14:textId="77777777" w:rsidTr="009660EE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1EAC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1.A. EQUIPOS, ENSAMBLAJES Y COMPONENTES</w:t>
            </w:r>
          </w:p>
        </w:tc>
      </w:tr>
      <w:tr w:rsidR="008048B0" w:rsidRPr="00C835F1" w14:paraId="58CE1F9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E566D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32866DBD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CB2D7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5D160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4F012B0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149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915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61B8F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Materiales fibrosos o filamentosos de carbono o aramida con cualquiera de las siguientes características: un módulo específico de 12.7 x 106 m o superior, o una resistencia específica a la tracción de 23.5 x 104 m o superior; materiales fibrosos o filamentosos de vidrio con un módulo específico de 3.18 x 106 m o superior, y una resistencia específica a la tracción de 7.62 x 104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1C53BFB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82D5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16AB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9089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8C4EFCD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DE708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9973DA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79C4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8414.90.10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3C6D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Partes.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6714D7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Cambiadores de frecuencia o generadores, utilizables como accionadores de frecuencia variable o constante, que tengan una salida multifase capaz de suministrar una potencia de 40 W o más; la capacidad de funcionar a una frecuencia de 600 Hz o más; y un control de frecuencia mejor que (inferior a) un 0,2%.</w:t>
            </w:r>
          </w:p>
        </w:tc>
      </w:tr>
      <w:tr w:rsidR="008048B0" w:rsidRPr="00C835F1" w14:paraId="3C2543B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A07C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AD4F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Bielas o émbolos.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777A2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04E0AF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905B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DAD6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Sellos mecánicos, reconocibles como diseñados exclusivamente para compresores de refrigeración denominados abiertos.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090D3E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AB6CA5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89BB3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EB4F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Partes para turbocargadores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supercargadores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D501E7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5F1D2A4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D5A21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5464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Rotores y estatores reconocibles como diseñados exclusivamente para lo comprendido en la subpartida 8414.30.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6D6734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2F8843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ADCE5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42DD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Impulsores o impelentes para compresores centrífugos.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F6F3ED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0925AA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3561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7B18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22AF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46E64E6F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AD82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30D430F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DBFB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8462.62.99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F5FD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73C187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8048B0" w:rsidRPr="00C835F1" w14:paraId="6B58DDC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FE53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49AA1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0295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1684859D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F85B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3211A91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A79B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8525.81.01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E1C4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9EACE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8048B0" w:rsidRPr="00C835F1" w14:paraId="71639D3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CEE9" w14:textId="77777777" w:rsidR="008048B0" w:rsidRPr="00C835F1" w:rsidRDefault="008048B0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A367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6955" w14:textId="77777777" w:rsidR="008048B0" w:rsidRPr="00C835F1" w:rsidRDefault="008048B0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30F6EEB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6827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65135B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038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8525.82.91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9AA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3CFA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8048B0" w:rsidRPr="00C835F1" w14:paraId="4CB5559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B2B4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7B9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D4F3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44CC6BF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E14A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E4C8EF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78B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8525.83.91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AF9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0CBF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8048B0" w:rsidRPr="00C835F1" w14:paraId="3A5CEE6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F007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02E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20E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1927FD" w14:paraId="1F601A8D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868A" w14:textId="77777777" w:rsidR="008048B0" w:rsidRPr="001927FD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8B0" w:rsidRPr="004E415C" w14:paraId="0D43A51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5276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b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  <w:highlight w:val="yellow"/>
              </w:rPr>
              <w:t>8525.89.99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5E64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b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92741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</w:rPr>
              <w:t>Únicamente:</w:t>
            </w:r>
            <w:r w:rsidRPr="004E415C">
              <w:rPr>
                <w:rFonts w:ascii="Abadi" w:hAnsi="Abadi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4E415C">
              <w:rPr>
                <w:rFonts w:ascii="Abadi" w:hAnsi="Abadi" w:cs="Arial"/>
                <w:position w:val="4"/>
                <w:sz w:val="12"/>
                <w:szCs w:val="12"/>
              </w:rPr>
              <w:t>4</w:t>
            </w:r>
            <w:r w:rsidRPr="004E415C">
              <w:rPr>
                <w:rFonts w:ascii="Abadi" w:hAnsi="Abadi" w:cs="Arial"/>
                <w:sz w:val="18"/>
                <w:szCs w:val="16"/>
                <w:vertAlign w:val="superscript"/>
              </w:rPr>
              <w:t xml:space="preserve"> </w:t>
            </w:r>
            <w:r w:rsidRPr="004E415C">
              <w:rPr>
                <w:rFonts w:ascii="Abadi" w:hAnsi="Abadi" w:cs="Arial"/>
                <w:sz w:val="16"/>
                <w:szCs w:val="16"/>
              </w:rPr>
              <w:t>Gy (silicio) sin degradación de su funcionamiento.</w:t>
            </w:r>
          </w:p>
        </w:tc>
      </w:tr>
      <w:tr w:rsidR="008048B0" w:rsidRPr="004E415C" w14:paraId="7A1BD29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E081" w14:textId="77777777" w:rsidR="008048B0" w:rsidRPr="004E415C" w:rsidRDefault="008048B0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B8D0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 xml:space="preserve">Cámaras de televisión </w:t>
            </w:r>
            <w:proofErr w:type="spellStart"/>
            <w:r w:rsidRPr="004E415C">
              <w:rPr>
                <w:rFonts w:ascii="Abadi" w:hAnsi="Abadi" w:cs="Arial"/>
                <w:sz w:val="16"/>
                <w:szCs w:val="16"/>
              </w:rPr>
              <w:t>giroestabilizadas</w:t>
            </w:r>
            <w:proofErr w:type="spellEnd"/>
            <w:r w:rsidRPr="004E415C">
              <w:rPr>
                <w:rFonts w:ascii="Abadi" w:hAnsi="Abadi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BD875" w14:textId="77777777" w:rsidR="008048B0" w:rsidRPr="004E415C" w:rsidRDefault="008048B0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8048B0" w:rsidRPr="004E415C" w14:paraId="007ABB6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20F7" w14:textId="77777777" w:rsidR="008048B0" w:rsidRPr="004E415C" w:rsidRDefault="008048B0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594F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Cámaras tomavistas para estudio de televisión, excepto las que se apoyan en el hombro y las portátiles.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3DA4E" w14:textId="77777777" w:rsidR="008048B0" w:rsidRPr="004E415C" w:rsidRDefault="008048B0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8048B0" w:rsidRPr="004E415C" w14:paraId="79D32CB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1D4F" w14:textId="77777777" w:rsidR="008048B0" w:rsidRPr="004E415C" w:rsidRDefault="008048B0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624D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Aparatos tomavistas para sistemas de televisión en circuito cerrado, excepto lo comprendido en los números de identificación comercial 8525.89.01.01 y 8525.89.01.02.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1FA11" w14:textId="77777777" w:rsidR="008048B0" w:rsidRPr="004E415C" w:rsidRDefault="008048B0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8048B0" w:rsidRPr="004E415C" w14:paraId="7936072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B6A7" w14:textId="77777777" w:rsidR="008048B0" w:rsidRPr="004E415C" w:rsidRDefault="008048B0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0699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Videocámaras, incluidas las de imagen fija; cámaras digitales.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C04EF" w14:textId="77777777" w:rsidR="008048B0" w:rsidRPr="004E415C" w:rsidRDefault="008048B0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8048B0" w:rsidRPr="004E415C" w14:paraId="54D1939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9A0A" w14:textId="77777777" w:rsidR="008048B0" w:rsidRPr="004E415C" w:rsidRDefault="008048B0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40AE" w14:textId="77777777" w:rsidR="008048B0" w:rsidRPr="004E415C" w:rsidRDefault="008048B0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4541" w14:textId="77777777" w:rsidR="008048B0" w:rsidRPr="004E415C" w:rsidRDefault="008048B0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</w:tbl>
    <w:p w14:paraId="3C86C1DC" w14:textId="07191FC5" w:rsidR="00975B8A" w:rsidRDefault="00975B8A"/>
    <w:p w14:paraId="301BA0D2" w14:textId="77777777" w:rsidR="008048B0" w:rsidRPr="00616CC5" w:rsidRDefault="008048B0" w:rsidP="008048B0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1.B.5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"/>
        <w:gridCol w:w="1745"/>
        <w:gridCol w:w="49"/>
        <w:gridCol w:w="3300"/>
        <w:gridCol w:w="14"/>
        <w:gridCol w:w="3673"/>
        <w:gridCol w:w="41"/>
        <w:gridCol w:w="83"/>
      </w:tblGrid>
      <w:tr w:rsidR="008048B0" w:rsidRPr="007C0AEA" w14:paraId="7491AD7B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F2D42" w14:textId="77777777" w:rsidR="008048B0" w:rsidRPr="007C0AEA" w:rsidRDefault="008048B0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Fracción</w:t>
            </w:r>
          </w:p>
          <w:p w14:paraId="7F6835E8" w14:textId="77777777" w:rsidR="008048B0" w:rsidRPr="007C0AEA" w:rsidRDefault="008048B0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Arancelaria/NICO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90C13" w14:textId="77777777" w:rsidR="008048B0" w:rsidRPr="007C0AEA" w:rsidRDefault="008048B0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20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12C6A" w14:textId="77777777" w:rsidR="008048B0" w:rsidRPr="007C0AEA" w:rsidRDefault="008048B0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Acotación</w:t>
            </w:r>
          </w:p>
        </w:tc>
      </w:tr>
      <w:tr w:rsidR="008048B0" w:rsidRPr="007C0AEA" w14:paraId="29440BBF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32C2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8462.42.01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05AF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 control numérico.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FCFCF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isostáticas; </w:t>
            </w: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Excepto: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máquinas (excepto las prensas) de punzonar, entallar o mordiscar, para productos planos, incluso las combinadas de cizallar y punzonar.</w:t>
            </w:r>
          </w:p>
        </w:tc>
      </w:tr>
      <w:tr w:rsidR="008048B0" w:rsidRPr="007C0AEA" w14:paraId="3DA263DE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662B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59E8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Máquinas complejas que realicen de manera alternativa o simultánea dos o más operaciones por deformación de material (incluso si cortan o perforan).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D14C4" w14:textId="77777777" w:rsidR="008048B0" w:rsidRPr="007C0AEA" w:rsidRDefault="008048B0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4E1125B2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0C20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DE3F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00B0" w14:textId="77777777" w:rsidR="008048B0" w:rsidRPr="007C0AEA" w:rsidRDefault="008048B0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65C4FA6C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49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2DFFBA1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478E2FB8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DE26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8462.49.99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2B47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3039B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8048B0" w:rsidRPr="007C0AEA" w14:paraId="5AD5243B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7A97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B70B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Máquinas complejas que realicen de manera alternativa o simultánea dos o más operaciones por deformación de material (incluso si cortan o perforan).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2ADFB5" w14:textId="77777777" w:rsidR="008048B0" w:rsidRPr="007C0AEA" w:rsidRDefault="008048B0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4B34B8FD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C07A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E861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A5D6" w14:textId="77777777" w:rsidR="008048B0" w:rsidRPr="007C0AEA" w:rsidRDefault="008048B0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48B444CC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49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0A9AF3B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7C0AEA" w14:paraId="6D1E196D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2232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8462.63.01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BB12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proofErr w:type="spellStart"/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Servoprensas</w:t>
            </w:r>
            <w:proofErr w:type="spellEnd"/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17263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8048B0" w:rsidRPr="007C0AEA" w14:paraId="102B76ED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6628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00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D43C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Servoprensas</w:t>
            </w:r>
            <w:proofErr w:type="spellEnd"/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FB7B" w14:textId="77777777" w:rsidR="008048B0" w:rsidRPr="007C0AEA" w:rsidRDefault="008048B0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8048B0" w:rsidRPr="00C835F1" w14:paraId="5FA3F217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226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8462.90.99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3F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6BFA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de 69 MPa o superior y con una cavidad de la cámara de diámetro interior superior a 152 mm; y matrices, moldes y controles especialmente diseñados para las prensas isostáticas.</w:t>
            </w:r>
          </w:p>
        </w:tc>
      </w:tr>
      <w:tr w:rsidR="008048B0" w:rsidRPr="00C835F1" w14:paraId="19EFEB98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3692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4D3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1597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6D46A8F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E05E" w14:textId="77777777" w:rsidR="008048B0" w:rsidRPr="007C0AEA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AEA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8479.83.01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3ED5" w14:textId="77777777" w:rsidR="008048B0" w:rsidRPr="007C0AEA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AEA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3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demás máquinas para el tratamiento del metal, incluidas las bobinadoras de hilos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eléctricos..</w:t>
            </w:r>
            <w:proofErr w:type="gramEnd"/>
          </w:p>
        </w:tc>
      </w:tr>
      <w:tr w:rsidR="008048B0" w:rsidRPr="00C835F1" w14:paraId="05368496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B51C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FBF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F4A8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907A233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20C6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FAD7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5B257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8048B0" w:rsidRPr="00C835F1" w14:paraId="1134DE3B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7345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D164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D36D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4CC9F70" w14:textId="77777777" w:rsidTr="009660EE">
        <w:trPr>
          <w:gridAfter w:val="2"/>
          <w:wAfter w:w="69" w:type="pct"/>
          <w:trHeight w:val="144"/>
        </w:trPr>
        <w:tc>
          <w:tcPr>
            <w:tcW w:w="49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4AE9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70D5093E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80E0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8514.11.01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EE83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Prensas isostáticas en caliente.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BE8F7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8048B0" w:rsidRPr="00C835F1" w14:paraId="6237B769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9499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BD6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caliente.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9ACF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3530B0D3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2A8A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8514.19.03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A780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industriales, excepto lo comprendido en las fracciones arancelarias 8514.19.01, 8514.19.02 y 8514.19.04.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6E29F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8048B0" w:rsidRPr="00C835F1" w14:paraId="7EB6793F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57EF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3807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industriales, excepto lo comprendido en las fracciones arancelarias 8514.19.01, 8514.19.02 y 8514.19.04.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33F7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02E82D85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630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8514.19.99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777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44" w:type="pct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18F17A29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8048B0" w:rsidRPr="00C835F1" w14:paraId="6620ED0D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0AC1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53E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86FA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E47658" w14:textId="1832E976" w:rsidR="008048B0" w:rsidRDefault="008048B0"/>
    <w:p w14:paraId="33B48208" w14:textId="77777777" w:rsidR="008048B0" w:rsidRPr="00616CC5" w:rsidRDefault="008048B0" w:rsidP="008048B0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1.B.7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6EFD914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41EC7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3CDDADDB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3842D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26F1D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2623FFA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90F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8514.31.01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E9F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de haces de electrones.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DC8697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>: Hornos de refundición por arco, hornos de fundición por arco y hornos de fundición por arco y colada que tengan electrodos consumibles de capacidad comprendida entre 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3F2C1FC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2CD35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3E8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haces de electrones.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67F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A7A4CFC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ACD211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1DE6AA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482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8514.32.01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A32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de plasma y hornos de arco al vacío.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942F1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: Hornos de refundición por arco, hornos de fundición por arco y hornos de fundición por arco y colada que tengan electrodos consumibles de capacidad comprendida entre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0384301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78F4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1A0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plasma y hornos de arco al vacío.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91C0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C63FBFB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136BFA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0CD7767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A58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F24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A5AC8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: Hornos de refundición por arco, hornos de fundición por arco y hornos de fundición por arco y colada que tengan electrodos consumibles de capacidad comprendida entre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66AAB77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0734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62A69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arco.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5D3CA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95B568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03D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C82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industriales, excepto lo comprendido en los números de identificación comercial 8514.31.01.00, 8514.39.99.01, 8514.39.99.04 y 8514.39.99.05.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0EAC5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805B01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3D734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D56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laboratorio.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8DF53A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9DAFE4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19D00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F4BF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para el calentamiento y el secado con rayos catódicos, láser, ultravioleta, infrarrojos y de alta frecuencia.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2A2505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0C6C9F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560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B2D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De olla de capacidad igual o superior a 120 Ton/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0FFF6D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1A521B84" w14:textId="77777777" w:rsidTr="009660EE">
        <w:trPr>
          <w:trHeight w:val="90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F12FA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B92A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770E0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331042" w14:textId="5AF65E22" w:rsidR="008048B0" w:rsidRDefault="008048B0"/>
    <w:p w14:paraId="6B330513" w14:textId="77777777" w:rsidR="008048B0" w:rsidRPr="00616CC5" w:rsidRDefault="008048B0" w:rsidP="008048B0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2.A.3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72EE769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371EC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4F564326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AEF88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40F5F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3D8354E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73B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7019.80.01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6DDF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Lana de vidrio y sus manufacturas.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CBE7A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Estructuras de composite en forma de tubos que tengan las características siguientes: un diámetro interior de entre 75 y 400 mm; y hechas con cualquiera de los materiales fibrosos o filamentosos especificados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 xml:space="preserve">7.a., o los materiales de carbono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especificados en 2.C.7.c.</w:t>
            </w:r>
          </w:p>
        </w:tc>
      </w:tr>
      <w:tr w:rsidR="008048B0" w:rsidRPr="00C835F1" w14:paraId="55878C7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DDEB6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EB6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Tubos de tejidos reforzados de lana de vidrio, recubiertos y/o impregnados para usarse como aislantes de la electricidad.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955917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4920FD4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90A9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736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A96A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22907B59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1A2833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862D9F" w14:textId="1BD8B8CF" w:rsidR="008048B0" w:rsidRDefault="008048B0"/>
    <w:p w14:paraId="38678FA5" w14:textId="77777777" w:rsidR="008048B0" w:rsidRPr="00616CC5" w:rsidRDefault="008048B0" w:rsidP="008048B0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2.C.7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40DE634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B94D7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5039A46B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56C12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FC828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333AEA1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405D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5501.11.01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FCE4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 aramidas.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7366C9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2B873E7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2940" w14:textId="77777777" w:rsidR="008048B0" w:rsidRPr="00C835F1" w:rsidRDefault="008048B0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8598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De aramidas.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BF01B" w14:textId="77777777" w:rsidR="008048B0" w:rsidRPr="00C835F1" w:rsidRDefault="008048B0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66A1889F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EC7E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29EBA0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31680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5501.19.99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30511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662B7A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7F97941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FFDA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2F7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84624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8EDDA2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0FD9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E6A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3610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7C65B03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7D69F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8FA4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6668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F11BEE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5749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7019.63.99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285BB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1143A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0749F0F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46DFE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8236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42C2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72B643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B0BC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7019.64.01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EBF2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Tejidos de hilados de malla cerrada, de ligamento tafetán, recubiertos o estratificados.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57FFA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42896CA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C6B6" w14:textId="77777777" w:rsidR="008048B0" w:rsidRPr="00C835F1" w:rsidRDefault="008048B0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EC16" w14:textId="77777777" w:rsidR="008048B0" w:rsidRPr="00C835F1" w:rsidRDefault="008048B0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Tejidos de hilados de malla cerrada, de ligamento tafetán, recubiertos o estratificados.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FC23" w14:textId="77777777" w:rsidR="008048B0" w:rsidRPr="00C835F1" w:rsidRDefault="008048B0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52503EE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4DB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7C4586E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AB1C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7019.66.99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2F5C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69C42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3A8BEE9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967F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4C7E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Sin recubrir.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696D1D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75E0AFB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F6D7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63BC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DAA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216F032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6A47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15C7E21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9962B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A797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43FFE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7604FDB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7EFF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9D308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Sin recubrir.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B19DF0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A0066F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52A8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0CB79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AD5FF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4178CEF8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B919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F1A278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E698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7019.80.01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341A4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Lana de vidrio y sus manufacturas.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1A040C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0C30474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9142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4652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Tubos de tejidos reforzados de lana de vidrio, recubiertos y/o impregnados para usarse como aislantes de la electricidad.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86C494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4E9392C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E6CF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4F84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5D43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922E27B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E73BCE9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39521B5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4621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7019.90.99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115E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E91185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8048B0" w:rsidRPr="00C835F1" w14:paraId="134D9A8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CF40" w14:textId="77777777" w:rsidR="008048B0" w:rsidRPr="00C835F1" w:rsidRDefault="008048B0" w:rsidP="009660EE">
            <w:pPr>
              <w:spacing w:before="40" w:after="40" w:line="212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8585" w14:textId="77777777" w:rsidR="008048B0" w:rsidRPr="00C835F1" w:rsidRDefault="008048B0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0CCA" w14:textId="77777777" w:rsidR="008048B0" w:rsidRPr="00C835F1" w:rsidRDefault="008048B0" w:rsidP="009660EE">
            <w:pPr>
              <w:spacing w:before="40" w:after="40" w:line="21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36AEDF" w14:textId="232E9566" w:rsidR="008048B0" w:rsidRDefault="008048B0"/>
    <w:p w14:paraId="40B5CFAD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2.C.20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429E28D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FC445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24497278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9328C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4ED3D" w14:textId="77777777" w:rsidR="008048B0" w:rsidRPr="00C835F1" w:rsidRDefault="008048B0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13AD73B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4DE4" w14:textId="77777777" w:rsidR="008048B0" w:rsidRPr="001272AA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14:paraId="09660DDB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8112.39.99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3EDC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E4F85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8048B0" w:rsidRPr="00C835F1" w14:paraId="264FB73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EC03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D41A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DF4F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365AADF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6077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7926784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E73A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8112.49.99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A171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D522E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8048B0" w:rsidRPr="00C835F1" w14:paraId="69CA5FA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96F5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1A63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F23A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4ED3E3DE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850C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5D9D972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9291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8112.99.99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89321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911348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8048B0" w:rsidRPr="00C835F1" w14:paraId="5E8BF0E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EC5D" w14:textId="77777777" w:rsidR="008048B0" w:rsidRPr="00C835F1" w:rsidRDefault="008048B0" w:rsidP="009660EE">
            <w:pPr>
              <w:spacing w:before="40" w:after="40" w:line="192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6CAD" w14:textId="77777777" w:rsidR="008048B0" w:rsidRPr="00C835F1" w:rsidRDefault="008048B0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E7DE" w14:textId="77777777" w:rsidR="008048B0" w:rsidRPr="00C835F1" w:rsidRDefault="008048B0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627CC" w14:textId="39A5FC80" w:rsidR="008048B0" w:rsidRDefault="008048B0"/>
    <w:p w14:paraId="508567B8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3.A.4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4AB8577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21649" w14:textId="77777777" w:rsidR="008048B0" w:rsidRPr="00C835F1" w:rsidRDefault="008048B0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6B2DC92E" w14:textId="77777777" w:rsidR="008048B0" w:rsidRPr="00C835F1" w:rsidRDefault="008048B0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BE1AC" w14:textId="77777777" w:rsidR="008048B0" w:rsidRPr="00C835F1" w:rsidRDefault="008048B0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D55FB" w14:textId="77777777" w:rsidR="008048B0" w:rsidRPr="00C835F1" w:rsidRDefault="008048B0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3198B20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190C2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8505.90.91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B3259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demás, incluidas las partes.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67724D" w14:textId="77777777" w:rsidR="008048B0" w:rsidRPr="00C835F1" w:rsidRDefault="008048B0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Electroimanes solenoidales superconductores que posean las características siguientes: capacidad de crear campos magnéticos de más de 2 telas; con un valor de longitud dividida por el diámetro interior superior a 2; con un diámetro interior de más de 300 mm; y con un campo magnético con un grado de uniformidad superior al 1% en un volumen centrado en el volumen interior, y del 50% de éste.</w:t>
            </w:r>
          </w:p>
        </w:tc>
      </w:tr>
      <w:tr w:rsidR="008048B0" w:rsidRPr="00C835F1" w14:paraId="1FCAE79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0637" w14:textId="77777777" w:rsidR="008048B0" w:rsidRPr="00C835F1" w:rsidRDefault="008048B0" w:rsidP="009660EE">
            <w:pPr>
              <w:spacing w:before="40" w:after="40" w:line="18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53FC0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8570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7B7AAD5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44847" w14:textId="77777777" w:rsidR="008048B0" w:rsidRPr="000D46F1" w:rsidRDefault="008048B0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D46F1">
              <w:rPr>
                <w:rFonts w:ascii="Arial" w:hAnsi="Arial" w:cs="Arial"/>
                <w:sz w:val="16"/>
                <w:szCs w:val="16"/>
                <w:highlight w:val="yellow"/>
              </w:rPr>
              <w:t>8414.70.99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5A840" w14:textId="77777777" w:rsidR="008048B0" w:rsidRPr="000D46F1" w:rsidRDefault="008048B0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0D46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A500" w14:textId="77777777" w:rsidR="008048B0" w:rsidRPr="00C835F1" w:rsidRDefault="008048B0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Compresores de desplazamiento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scroll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herméticos de fuelle y bombas de vacío de desplazamiento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scroll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herméticas de fuelle con la capacidad de tener un flujo volumétrico de entrada de 50m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/h o más; la capacidad de tener una relación de compresión de 2:1 o mayor; y que todas las superficies que entran en contacto con el gas del proceso hechas de alguno de los materiales siguientes: aluminio o una aleación de aluminio; óxido de aluminio; acero inoxidable; níquel o una aleación de níquel; bronce fosforoso;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fluoropolímeros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48B0" w:rsidRPr="00C835F1" w14:paraId="3EBC582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DEBC" w14:textId="77777777" w:rsidR="008048B0" w:rsidRPr="00C835F1" w:rsidRDefault="008048B0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A8D7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1213" w14:textId="77777777" w:rsidR="008048B0" w:rsidRPr="00C835F1" w:rsidRDefault="008048B0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D49CE2" w14:textId="40E5E809" w:rsidR="008048B0" w:rsidRDefault="008048B0"/>
    <w:p w14:paraId="552640DE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3.B.2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4B5D2BA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AC03A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272D5D32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CFEC4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65024" w14:textId="77777777" w:rsidR="008048B0" w:rsidRPr="00C835F1" w:rsidRDefault="008048B0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5B360AD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7BF4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2FE1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F0CEB0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Equipos de ensamblado de rotores para ensamblar secciones de tubos de rotor, pantallas y cofias de centrífugas gaseosas; equipos de enderezamiento de rotores para alinear las secciones de los tubos de los rotores de las centrífugas gaseosas a un eje común; mandriles y matrices para la conformación de fuelles, para la producción de fuelles de forma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monoconvolutiva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48B0" w:rsidRPr="00C835F1" w14:paraId="26B8BAD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5F80" w14:textId="77777777" w:rsidR="008048B0" w:rsidRPr="00C835F1" w:rsidRDefault="008048B0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8E57" w14:textId="77777777" w:rsidR="008048B0" w:rsidRPr="00C835F1" w:rsidRDefault="008048B0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551A" w14:textId="77777777" w:rsidR="008048B0" w:rsidRPr="00C835F1" w:rsidRDefault="008048B0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038586" w14:textId="0BF5B87D" w:rsidR="008048B0" w:rsidRDefault="008048B0"/>
    <w:p w14:paraId="359659EC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3.B.4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"/>
        <w:gridCol w:w="1743"/>
        <w:gridCol w:w="50"/>
        <w:gridCol w:w="3300"/>
        <w:gridCol w:w="13"/>
        <w:gridCol w:w="3717"/>
        <w:gridCol w:w="83"/>
      </w:tblGrid>
      <w:tr w:rsidR="008048B0" w:rsidRPr="00C835F1" w14:paraId="4EFA4BD7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2E44A" w14:textId="77777777" w:rsidR="008048B0" w:rsidRPr="00C835F1" w:rsidRDefault="008048B0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533CCADD" w14:textId="77777777" w:rsidR="008048B0" w:rsidRPr="00C835F1" w:rsidRDefault="008048B0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F7446" w14:textId="77777777" w:rsidR="008048B0" w:rsidRPr="00C835F1" w:rsidRDefault="008048B0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C822A" w14:textId="77777777" w:rsidR="008048B0" w:rsidRPr="00C835F1" w:rsidRDefault="008048B0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7726CB59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54FD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8479.83.01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5E9A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Prensas isostáticas en frío.</w:t>
            </w:r>
          </w:p>
        </w:tc>
        <w:tc>
          <w:tcPr>
            <w:tcW w:w="20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B1AFA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bobinadoras de filamentos con todas las características siguientes: con movimientos para posicionar, enrollar y bobinar las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fibras que se coordinen y programen en dos o más ejes; especialmente diseñadas para elaborar estructuras de composite o laminados a partir de materiales fibrosos o filamentosos; y con capacidad de bobinar rotores cilíndricos de diámetro entre 75 mm y 400 mm y de longitud igual o superior a 600 mm; Controles de coordinación y programación para las máquinas bobinadoras de filamentos, según se indica en 3.B.4.a.; y Mandriles de precisión para las máquinas bobinadas de filamentos, como se indica en 3.B.4.a.;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demás máquinas para el tratamiento del metal, incluidas las bobinadoras de hilos eléctricos.</w:t>
            </w:r>
          </w:p>
        </w:tc>
      </w:tr>
      <w:tr w:rsidR="008048B0" w:rsidRPr="00C835F1" w14:paraId="5E59A442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1011" w14:textId="77777777" w:rsidR="008048B0" w:rsidRPr="00C835F1" w:rsidRDefault="008048B0" w:rsidP="009660EE">
            <w:pPr>
              <w:spacing w:before="40" w:after="40" w:line="18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2409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0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282A" w14:textId="77777777" w:rsidR="008048B0" w:rsidRPr="00C835F1" w:rsidRDefault="008048B0" w:rsidP="009660EE">
            <w:pPr>
              <w:spacing w:before="40" w:after="40" w:line="18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A3097E4" w14:textId="77777777" w:rsidTr="009660EE">
        <w:trPr>
          <w:trHeight w:val="144"/>
        </w:trPr>
        <w:tc>
          <w:tcPr>
            <w:tcW w:w="10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5005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93B3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082998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bobinadoras de filamentos con todas las características siguientes: con movimientos para posicionar, enrollar y bobinar las fibras que se coordinen y programen en dos o más ejes; especialmente diseñadas para elaborar estructuras de composite o laminados a partir de materiales fibrosos o filamentosos; y con capacidad de bobinar rotores cilíndricos de diámetro entre 75 mm y 400 mm y de longitud igual o superior a 600 mm; Controles de coordinación y programación para las máquinas bobinadoras de filamentos, según se indica en 3.B.4.a.; y Mandriles de precisión para las máquinas bobinadas de filamentos, como se indica en 3.B.4.a.</w:t>
            </w:r>
          </w:p>
        </w:tc>
      </w:tr>
      <w:tr w:rsidR="008048B0" w:rsidRPr="00C835F1" w14:paraId="72CA03C3" w14:textId="77777777" w:rsidTr="009660EE">
        <w:trPr>
          <w:trHeight w:val="144"/>
        </w:trPr>
        <w:tc>
          <w:tcPr>
            <w:tcW w:w="10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FE058" w14:textId="77777777" w:rsidR="008048B0" w:rsidRPr="00C835F1" w:rsidRDefault="008048B0" w:rsidP="009660EE">
            <w:pPr>
              <w:spacing w:before="40" w:after="40" w:line="18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E53A2" w14:textId="77777777" w:rsidR="008048B0" w:rsidRPr="00C835F1" w:rsidRDefault="008048B0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2227" w14:textId="77777777" w:rsidR="008048B0" w:rsidRPr="00C835F1" w:rsidRDefault="008048B0" w:rsidP="009660EE">
            <w:pPr>
              <w:spacing w:before="40" w:after="40" w:line="18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34CCE" w14:textId="4AFF48A0" w:rsidR="008048B0" w:rsidRDefault="008048B0"/>
    <w:p w14:paraId="7A405FBD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4.A.3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39F5A99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C6C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939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3F0D8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Turboexpansores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conjuntos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turboexpansores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-compresores, con las dos características siguientes: diseñados para funcionar a una temperatura de 35 K (-238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o menos; y diseñados para un caudal de hidrógeno gaseoso de 1 000 kg/h, o más.</w:t>
            </w:r>
          </w:p>
        </w:tc>
      </w:tr>
      <w:tr w:rsidR="008048B0" w:rsidRPr="00C835F1" w14:paraId="1BF677C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C147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E75D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AA0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F6AA8C7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FD34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91F479" w14:textId="19D9C1EC" w:rsidR="008048B0" w:rsidRDefault="008048B0"/>
    <w:p w14:paraId="3F5070C1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5.B.3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8048B0" w:rsidRPr="00C835F1" w14:paraId="5031616E" w14:textId="77777777" w:rsidTr="009660EE">
        <w:trPr>
          <w:trHeight w:val="144"/>
        </w:trPr>
        <w:tc>
          <w:tcPr>
            <w:tcW w:w="1016" w:type="pct"/>
            <w:shd w:val="clear" w:color="auto" w:fill="FFFFFF"/>
            <w:vAlign w:val="center"/>
          </w:tcPr>
          <w:p w14:paraId="1B0D8969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 Arancelaria/NICO</w:t>
            </w:r>
          </w:p>
        </w:tc>
        <w:tc>
          <w:tcPr>
            <w:tcW w:w="1870" w:type="pct"/>
            <w:shd w:val="clear" w:color="auto" w:fill="FFFFFF"/>
            <w:vAlign w:val="center"/>
          </w:tcPr>
          <w:p w14:paraId="715D39B6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shd w:val="clear" w:color="auto" w:fill="FFFFFF"/>
            <w:vAlign w:val="center"/>
          </w:tcPr>
          <w:p w14:paraId="207C00A4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420E1504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1173883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8525.81.01</w:t>
            </w:r>
          </w:p>
        </w:tc>
        <w:tc>
          <w:tcPr>
            <w:tcW w:w="1870" w:type="pct"/>
            <w:vAlign w:val="center"/>
          </w:tcPr>
          <w:p w14:paraId="183E466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281ED64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8048B0" w:rsidRPr="00C835F1" w14:paraId="56963D10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31490409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592C8EF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1D76187D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7A68683E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5CB17DDB" w14:textId="77777777" w:rsidR="008048B0" w:rsidRPr="00C835F1" w:rsidRDefault="008048B0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8525.82.91</w:t>
            </w:r>
          </w:p>
        </w:tc>
        <w:tc>
          <w:tcPr>
            <w:tcW w:w="1870" w:type="pct"/>
            <w:vAlign w:val="center"/>
          </w:tcPr>
          <w:p w14:paraId="20361BBE" w14:textId="77777777" w:rsidR="008048B0" w:rsidRPr="00C835F1" w:rsidRDefault="008048B0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56D3120D" w14:textId="77777777" w:rsidR="008048B0" w:rsidRPr="00C835F1" w:rsidRDefault="008048B0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8048B0" w:rsidRPr="00C835F1" w14:paraId="1D2A4921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12740577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08027249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60E71C01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38B4F80" w14:textId="77777777" w:rsidTr="009660EE">
        <w:trPr>
          <w:trHeight w:val="144"/>
        </w:trPr>
        <w:tc>
          <w:tcPr>
            <w:tcW w:w="5000" w:type="pct"/>
            <w:gridSpan w:val="3"/>
            <w:vAlign w:val="center"/>
          </w:tcPr>
          <w:p w14:paraId="7A4426A4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875A526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3275A6F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8525.83.91</w:t>
            </w:r>
          </w:p>
        </w:tc>
        <w:tc>
          <w:tcPr>
            <w:tcW w:w="1870" w:type="pct"/>
            <w:vAlign w:val="center"/>
          </w:tcPr>
          <w:p w14:paraId="6692ED74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2DAC5CE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apartados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8048B0" w:rsidRPr="00C835F1" w14:paraId="2C40A976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44D6D5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0969320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23AFD9BB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0C4A34D9" w14:textId="77777777" w:rsidTr="009660EE">
        <w:trPr>
          <w:trHeight w:val="144"/>
        </w:trPr>
        <w:tc>
          <w:tcPr>
            <w:tcW w:w="5000" w:type="pct"/>
            <w:gridSpan w:val="3"/>
            <w:vAlign w:val="center"/>
          </w:tcPr>
          <w:p w14:paraId="47B1D52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AA63856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15DA24DA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8525.89.99</w:t>
            </w:r>
          </w:p>
        </w:tc>
        <w:tc>
          <w:tcPr>
            <w:tcW w:w="1870" w:type="pct"/>
            <w:vAlign w:val="center"/>
          </w:tcPr>
          <w:p w14:paraId="6CC485A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vAlign w:val="center"/>
          </w:tcPr>
          <w:p w14:paraId="4A474170" w14:textId="77777777" w:rsidR="008048B0" w:rsidRPr="00C835F1" w:rsidRDefault="008048B0" w:rsidP="009660EE">
            <w:pPr>
              <w:spacing w:before="40" w:after="40" w:line="19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apartados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8048B0" w:rsidRPr="00C835F1" w14:paraId="35ACB97D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45CBFC21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vAlign w:val="center"/>
          </w:tcPr>
          <w:p w14:paraId="3D94635E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Cámaras de televisión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giroestabilizadas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vAlign w:val="center"/>
          </w:tcPr>
          <w:p w14:paraId="00B4DDC7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3A60BD02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3E54D1F8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1870" w:type="pct"/>
            <w:vAlign w:val="center"/>
          </w:tcPr>
          <w:p w14:paraId="5707E91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Cámaras tomavistas para estudio de televisión, excepto las que se apoyan en el hombro y las portátiles.</w:t>
            </w:r>
          </w:p>
        </w:tc>
        <w:tc>
          <w:tcPr>
            <w:tcW w:w="2114" w:type="pct"/>
            <w:vMerge/>
            <w:vAlign w:val="center"/>
          </w:tcPr>
          <w:p w14:paraId="65850013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403EF5E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2C3FC2F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vAlign w:val="center"/>
          </w:tcPr>
          <w:p w14:paraId="2527D514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Aparatos tomavistas para sistemas de televisión en circuito cerrado, excepto lo comprendido en los números de identificación comercial 8525.89.01.01 y 8525.89.01.02.</w:t>
            </w:r>
          </w:p>
        </w:tc>
        <w:tc>
          <w:tcPr>
            <w:tcW w:w="2114" w:type="pct"/>
            <w:vMerge/>
            <w:vAlign w:val="center"/>
          </w:tcPr>
          <w:p w14:paraId="04261518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6B707837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602C515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vAlign w:val="center"/>
          </w:tcPr>
          <w:p w14:paraId="134FB1F7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Videocámaras, incluidas las de imagen fija; cámaras digitales.</w:t>
            </w:r>
          </w:p>
        </w:tc>
        <w:tc>
          <w:tcPr>
            <w:tcW w:w="2114" w:type="pct"/>
            <w:vMerge/>
            <w:vAlign w:val="center"/>
          </w:tcPr>
          <w:p w14:paraId="736B0374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39D392E6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54C0D894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vAlign w:val="center"/>
          </w:tcPr>
          <w:p w14:paraId="054196B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vAlign w:val="center"/>
          </w:tcPr>
          <w:p w14:paraId="403E872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F1363A" w14:textId="04B75015" w:rsidR="008048B0" w:rsidRDefault="008048B0"/>
    <w:p w14:paraId="4B649DF4" w14:textId="77777777" w:rsidR="008048B0" w:rsidRPr="00A510CE" w:rsidRDefault="008048B0" w:rsidP="008048B0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5.B.5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"/>
        <w:gridCol w:w="1794"/>
        <w:gridCol w:w="3300"/>
        <w:gridCol w:w="3729"/>
        <w:gridCol w:w="83"/>
      </w:tblGrid>
      <w:tr w:rsidR="008048B0" w:rsidRPr="00C835F1" w14:paraId="51D325EC" w14:textId="77777777" w:rsidTr="009660EE">
        <w:trPr>
          <w:gridBefore w:val="1"/>
          <w:gridAfter w:val="1"/>
          <w:wBefore w:w="45" w:type="pct"/>
          <w:wAfter w:w="47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D63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9026.80.91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B532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 instrumentos y aparatos.</w:t>
            </w:r>
          </w:p>
        </w:tc>
        <w:tc>
          <w:tcPr>
            <w:tcW w:w="20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7D1D1F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Interferómetros de velocidad para medir velocidades superiores a 1 km por segundo durante intervalos de tiempo menores que 10 µs; manómetros de presión de choque capaces medir presiones superiores a 10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GPa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incluidos los manómetros de manganina, de iterbio y de fluoruro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polivinilideno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(PVDF)/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bifluoruro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polivinilideno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(PVF2); y transductores de presión de cuarzo para presiones superiores a 10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GPa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48B0" w:rsidRPr="00C835F1" w14:paraId="242F36C9" w14:textId="77777777" w:rsidTr="009660EE">
        <w:trPr>
          <w:gridBefore w:val="1"/>
          <w:gridAfter w:val="1"/>
          <w:wBefore w:w="45" w:type="pct"/>
          <w:wAfter w:w="47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ABA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BBC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64CF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67C8B042" w14:textId="77777777" w:rsidTr="009660EE">
        <w:trPr>
          <w:trHeight w:val="14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91D7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6. COMPONENTES PARA DISPOSITIVOS EXPLOSIVOS NUCLEARES</w:t>
            </w:r>
          </w:p>
        </w:tc>
      </w:tr>
      <w:tr w:rsidR="008048B0" w:rsidRPr="00C835F1" w14:paraId="4A101050" w14:textId="77777777" w:rsidTr="009660EE">
        <w:trPr>
          <w:trHeight w:val="14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EB4F0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6.A. EQUIPOS, ENSAMBLAJES Y COMPONENTES</w:t>
            </w:r>
          </w:p>
        </w:tc>
      </w:tr>
    </w:tbl>
    <w:p w14:paraId="4253A71F" w14:textId="1E3F1BCB" w:rsidR="008048B0" w:rsidRDefault="008048B0"/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"/>
        <w:gridCol w:w="1794"/>
        <w:gridCol w:w="102"/>
        <w:gridCol w:w="3197"/>
        <w:gridCol w:w="327"/>
        <w:gridCol w:w="3402"/>
        <w:gridCol w:w="83"/>
      </w:tblGrid>
      <w:tr w:rsidR="008048B0" w:rsidRPr="00C835F1" w14:paraId="50ADEFBA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CC2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8540.60.91</w:t>
            </w:r>
          </w:p>
        </w:tc>
        <w:tc>
          <w:tcPr>
            <w:tcW w:w="1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B878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 tubos de rayos catódicos.</w:t>
            </w:r>
          </w:p>
        </w:tc>
        <w:tc>
          <w:tcPr>
            <w:tcW w:w="20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B343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Tubos de cátodo frío, llenos de gas o no, de funcionamiento similar a los descargadores de chispas, y que posean todas las características siguientes: que contengan tres o más electrodos; con voltaje nominal de pico en el ánodo de 2.5 kV o más; Intensidad de corriente de pico en el ánodo igual o superior a 100 A; y tiempo de retardo del ánodo de 10 µs o menos.</w:t>
            </w:r>
          </w:p>
        </w:tc>
      </w:tr>
      <w:tr w:rsidR="008048B0" w:rsidRPr="00C835F1" w14:paraId="55BF44E0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87B0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51F7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 tubos de rayos catódicos.</w:t>
            </w:r>
          </w:p>
        </w:tc>
        <w:tc>
          <w:tcPr>
            <w:tcW w:w="207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4133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B7ADB11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2F40" w14:textId="77777777" w:rsidR="008048B0" w:rsidRPr="00CD64AD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64AD">
              <w:rPr>
                <w:rFonts w:ascii="Arial" w:hAnsi="Arial" w:cs="Arial"/>
                <w:sz w:val="16"/>
                <w:szCs w:val="16"/>
              </w:rPr>
              <w:t>8414.70.02</w:t>
            </w:r>
          </w:p>
        </w:tc>
        <w:tc>
          <w:tcPr>
            <w:tcW w:w="1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76FA" w14:textId="77777777" w:rsidR="008048B0" w:rsidRPr="00CD64AD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4AD">
              <w:rPr>
                <w:rFonts w:ascii="Arial" w:hAnsi="Arial" w:cs="Arial"/>
                <w:sz w:val="16"/>
                <w:szCs w:val="16"/>
              </w:rPr>
              <w:t>Filtros.</w:t>
            </w:r>
          </w:p>
        </w:tc>
        <w:tc>
          <w:tcPr>
            <w:tcW w:w="207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02EA8" w14:textId="77777777" w:rsidR="008048B0" w:rsidRPr="00C835F1" w:rsidRDefault="008048B0" w:rsidP="009660EE">
            <w:pPr>
              <w:spacing w:before="40" w:after="40" w:line="1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Equipos de filtración de flujo cruzado (tangencial) con capacidad para la separación de microorganismos patógenos, virus, toxinas y cultivos de células, que reúnan todas las características siguientes: un área de filtración total igual o superior a 1 metro cuadrado; y que tengan alguna de las siguientes características: a) que puedan ser esterilizados o desinfectados in situ, o b) que utilicen componentes de equipos de filtración desechables o de un solo uso.</w:t>
            </w:r>
          </w:p>
        </w:tc>
      </w:tr>
      <w:tr w:rsidR="008048B0" w:rsidRPr="00C835F1" w14:paraId="04194377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F491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2CE7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Filtros.</w:t>
            </w:r>
          </w:p>
        </w:tc>
        <w:tc>
          <w:tcPr>
            <w:tcW w:w="207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65AD" w14:textId="77777777" w:rsidR="008048B0" w:rsidRPr="00C835F1" w:rsidRDefault="008048B0" w:rsidP="009660EE">
            <w:pPr>
              <w:spacing w:before="40" w:after="40" w:line="188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7A5C7531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E6C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8421.32.99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284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77B4B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Equipos de filtración de flujo cruzado (tangencial) con capacidad para la separación de microorganismos patógenos, virus, toxinas y cultivos de células, que reúnan todas las características siguientes: un área de filtración total igual o superior a 1 metro cuadrado; y que tengan alguna de las siguientes características: a) que puedan ser esterilizados o desinfectados in situ, o b) que utilicen componentes de equipos de filtración desechables o de un solo uso.</w:t>
            </w:r>
          </w:p>
        </w:tc>
      </w:tr>
      <w:tr w:rsidR="008048B0" w:rsidRPr="00C835F1" w14:paraId="04944AEB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D927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8CDB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5F50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3855637D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ADE74" w14:textId="77777777" w:rsidR="008048B0" w:rsidRPr="00CD64AD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64AD">
              <w:rPr>
                <w:rFonts w:ascii="Arial" w:hAnsi="Arial" w:cs="Arial"/>
                <w:sz w:val="16"/>
                <w:szCs w:val="16"/>
              </w:rPr>
              <w:t>8524.19.99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F41C" w14:textId="77777777" w:rsidR="008048B0" w:rsidRPr="00CD64AD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4AD">
              <w:rPr>
                <w:rFonts w:ascii="Arial" w:hAnsi="Arial" w:cs="Arial"/>
                <w:sz w:val="16"/>
                <w:szCs w:val="16"/>
              </w:rPr>
              <w:t xml:space="preserve">Los demás. 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CC8F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Ensambladores y sintetizadores de ácido nucleico, que están parcial o totalmente automatizados, y están diseñados para generar ácidos nucleicos continuos de más de 1,5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kilobases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de longitud con tasas de error inferiores al 5% en una sola ejecución;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tableros indicadores con dispositivos de cristal líquido (LCD) o diodos emisores de luz (LED),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incorporados..</w:t>
            </w:r>
            <w:proofErr w:type="gramEnd"/>
          </w:p>
        </w:tc>
      </w:tr>
      <w:tr w:rsidR="008048B0" w:rsidRPr="00C835F1" w14:paraId="2CEDAF23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8E93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60EA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BDBC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70DCE65A" w14:textId="77777777" w:rsidTr="009660EE">
        <w:trPr>
          <w:trHeight w:val="14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564A363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0E8492AB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FF4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9403.20.91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5F46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 muebles de metal.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CECC6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Instalaciones completas de contención que cumplan los requisitos de contenciónP3 o P4 (BL3, BL4, L3, L4) establecidos en el Manual de Bioseguridad de Laboratorio de la OMS; cámaras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biocontención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aisladores o cabinas de seguridad biológica con todas las características siguientes, en operación normal: lugar de trabajo totalmente cerrado en el que el operador está separado del trabajo por una barrera física; capaz de operar bajo presión negativa; medios para manipular con seguridad elementos en el lugar de trabajo; suministro y salida de aire al y del lugar de trabajo mediante filtración HEPA. </w:t>
            </w:r>
          </w:p>
        </w:tc>
      </w:tr>
      <w:tr w:rsidR="008048B0" w:rsidRPr="00C835F1" w14:paraId="6C72A964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B585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9514E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Gabinetes de seguridad biológica y flujo laminar con control y reciclado de aire, contenidos en un solo cuerpo, para uso en laboratorio.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310AA8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5BEE333B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963C8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AC4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Camas, incluso las llamadas “bases”, pintadas o latonadas.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3ED13F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3CC92969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03400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CE79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Mesas, excepto las reconocibles como diseñadas exclusivamente para dibujo o trazado (restiradores), sin equipar.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C8D612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6DC4E487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75D1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902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Cunas y corrales para infantes.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009E4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2C05267B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0E0C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7B7B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49F6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C2AFF32" w14:textId="77777777" w:rsidTr="009660EE">
        <w:trPr>
          <w:trHeight w:val="14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1F46E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4F484CA1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F5D6" w14:textId="77777777" w:rsidR="008048B0" w:rsidRPr="00C835F1" w:rsidRDefault="008048B0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9406.20.01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CFF5" w14:textId="77777777" w:rsidR="008048B0" w:rsidRPr="00C835F1" w:rsidRDefault="008048B0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Unidades de construcción modular, de acero.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99D334" w14:textId="77777777" w:rsidR="008048B0" w:rsidRPr="00C835F1" w:rsidRDefault="008048B0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Instalaciones completas de contención que cumplan los requisitos de contención P3 o P4 (BL3, BL4, L3, L4) establecidos en el Manual de Bioseguridad de Laboratorio de la OMS; equipo de inhalación de aerosol diseñado para pruebas de desafío de aerosol con microorganismos, virus o toxinas de la siguiente manera: cámara de exposición de cuerpo entero que tenga una capacidad igual o superior a 1 metro cúbico; aparatos de exposición solo para la nariz que utilizan flujo de aerosol dirigido y que tienen capacidad para la exposición de 12 o más roedores, o 2 o más animales que no sean roedores; y, tubos cerrados de retención de animales diseñados para su uso con tales aparatos; equipos (no especificada en otra parte en la lista de control de Equipos Biológicos de Doble Uso y Tecnología y Sistemas Informáticos Asociados) para la encapsulación de microorganismos patógenos vivos, virus y toxinas con un tamaño de partícula medio típico de 10 micrómetros o menos; Fermentadores con una capacidad inferior a 20 litros y Cámaras de aire claro de flujo convencional o turbulento y unidades autónomas de filtro absoluto en abanico que puedan utilizarse en instalaciones de contención P3 o P4 (BL3, BL4, L3, L4).</w:t>
            </w:r>
          </w:p>
        </w:tc>
      </w:tr>
      <w:tr w:rsidR="008048B0" w:rsidRPr="00C835F1" w14:paraId="1D3C77CC" w14:textId="77777777" w:rsidTr="009660EE">
        <w:trPr>
          <w:trHeight w:val="144"/>
        </w:trPr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950E" w14:textId="77777777" w:rsidR="008048B0" w:rsidRPr="00C835F1" w:rsidRDefault="008048B0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30863" w14:textId="77777777" w:rsidR="008048B0" w:rsidRPr="00C835F1" w:rsidRDefault="008048B0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Unidades de construcción modular, de acero.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590B0" w14:textId="77777777" w:rsidR="008048B0" w:rsidRPr="00C835F1" w:rsidRDefault="008048B0" w:rsidP="009660EE">
            <w:pPr>
              <w:spacing w:before="40" w:after="40" w:line="18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D64AD" w14:paraId="488A5F5C" w14:textId="77777777" w:rsidTr="009660EE">
        <w:trPr>
          <w:trHeight w:val="14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3CC8801" w14:textId="77777777" w:rsidR="008048B0" w:rsidRPr="00CD64AD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4AD">
              <w:rPr>
                <w:rFonts w:ascii="Arial" w:hAnsi="Arial" w:cs="Arial"/>
                <w:b/>
                <w:sz w:val="16"/>
                <w:szCs w:val="16"/>
              </w:rPr>
              <w:lastRenderedPageBreak/>
              <w:t>LISTA DE AGENTES BIOLOGICOS</w:t>
            </w:r>
          </w:p>
        </w:tc>
      </w:tr>
      <w:tr w:rsidR="008048B0" w:rsidRPr="00C835F1" w14:paraId="40803014" w14:textId="77777777" w:rsidTr="009660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"/>
        </w:trPr>
        <w:tc>
          <w:tcPr>
            <w:tcW w:w="1100" w:type="pct"/>
            <w:gridSpan w:val="3"/>
            <w:shd w:val="pct25" w:color="auto" w:fill="FFFFFF"/>
            <w:vAlign w:val="center"/>
          </w:tcPr>
          <w:p w14:paraId="7F7933D2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67C5F29A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961" w:type="pct"/>
            <w:gridSpan w:val="2"/>
            <w:shd w:val="pct25" w:color="auto" w:fill="FFFFFF"/>
            <w:vAlign w:val="center"/>
          </w:tcPr>
          <w:p w14:paraId="2FF8ECC4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939" w:type="pct"/>
            <w:gridSpan w:val="2"/>
            <w:shd w:val="pct25" w:color="auto" w:fill="FFFFFF"/>
            <w:vAlign w:val="center"/>
          </w:tcPr>
          <w:p w14:paraId="7B9FE77A" w14:textId="77777777" w:rsidR="008048B0" w:rsidRPr="00C835F1" w:rsidRDefault="008048B0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8048B0" w:rsidRPr="00C835F1" w14:paraId="73DEE653" w14:textId="77777777" w:rsidTr="009660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"/>
        </w:trPr>
        <w:tc>
          <w:tcPr>
            <w:tcW w:w="1100" w:type="pct"/>
            <w:gridSpan w:val="3"/>
            <w:vAlign w:val="center"/>
          </w:tcPr>
          <w:p w14:paraId="10C13361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3002.49.99</w:t>
            </w:r>
          </w:p>
        </w:tc>
        <w:tc>
          <w:tcPr>
            <w:tcW w:w="1961" w:type="pct"/>
            <w:gridSpan w:val="2"/>
            <w:vAlign w:val="center"/>
          </w:tcPr>
          <w:p w14:paraId="5EDCC7F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 w:val="restart"/>
            <w:vAlign w:val="center"/>
          </w:tcPr>
          <w:p w14:paraId="56F0EDC8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virus de los Andes; de Chapare;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Chikungunya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Choclo; de la fiebre hemorrágica de Crimea-Congo; del dengue;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Dobrava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-Belgrado; de la encefalitis equina del Este; del Ébola;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Guanarito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Hantaan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Hendra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Morbillivirus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equino); de la encefalitis japonesa; Junín; del bosque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Kyasanur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Laguna Negra; de Lassa;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Louping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Virus Lujo; de la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coriomeningitis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linfocítica;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Machupo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Marburg; de la viruela del mono; de la encefalitis del Valle de Murray;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Nipah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fiebre hemorrágica de Omsk;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Oropouche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Powassan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fiebre del Valle del Rift; Rocío; Sabia; de Seúl; Virus Sin Nombre (SNV); de la encefalitis de San Luis; de la encefalitis de San Luis (Virus de la encefalitis rusa de primavera-verano); de la viruela; de la encefalitis equina venezolana, de la encefalitis equina del Oeste; de la fiebre amarilla; reconstrucción del virus de la gripe de 1918; coronavirus relacionado con el síndrome respiratorio agudo y grave (coronavirus relacionado con el SRAG); virus de la encefalitis transmitida por garrapatas Subtipo del Lejano Oriente; coronavirus del síndrome respiratorio de Oriente Medio (MERS-CoV); elementos genéticos y organismos modificados genéticamente: cualquier organismo modificado genéticamente que contenga, o elemento genético que codifique: cualquier gen o genes específicos de cualquier virus listado; o cualquier gen o genes específicos de cualquier bacteria u hongo enumerados, y que en sí mismo o a través de sus productos transcritos o traducidos representa un peligro significativo para la salud humana, animal o vegetal, o podría dotar o mejorar la patogenicidad; cualquier toxina listada o sus subunidades; las bacterias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Bacillus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anthracis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abortus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melitensis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Chlamydophilia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psittaci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botulinum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argentinense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(antes conocido como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botulinum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G),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baratii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butyricum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Francisella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tularensis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Burkholderia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Burkholderia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Salmonella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typhi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dysenteriae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Vibrio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cholerae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Yersinia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pestis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perfringens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tipos productores de toxinas épsilon;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Escherichia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(STEC) de los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serogrupos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O26, O45, O103, O104, O111, O121, O145, O157, productores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toxina y otros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serogrupos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productores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toxina;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tetani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Legionella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pneumophila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y Yersinia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pseudotuberculosis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Coxiella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burnetii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Rickettsia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prowazekii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Otras especies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produzcan toxina botulínica;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las toxinas botulínicas; Toxinas alfa, beta 1, beta 2, épsilon e iota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perfringens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Conotoxina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Shiga; Enterotoxinas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aureus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hemolisina alfa toxina, y toxina del síndrome del shock tóxico (antes conocida como enterotoxina F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Tetrodotoxina;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Verotoxina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Microcistina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Cianginosina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Aflatoxinas; Abrina; Toxina colérica;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diacetoxiscirpenol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Toxina T-2; Toxina HT-2;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modecina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volkensina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Lectina 1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Viscum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album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Viscumina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y/o los hongos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Coccidioides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immitis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Coccidioides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posadasii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Fusarium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sporotrichioides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Fusarium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langsethiae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48B0" w:rsidRPr="00C835F1" w14:paraId="265F07D0" w14:textId="77777777" w:rsidTr="009660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"/>
        </w:trPr>
        <w:tc>
          <w:tcPr>
            <w:tcW w:w="1100" w:type="pct"/>
            <w:gridSpan w:val="3"/>
            <w:vAlign w:val="center"/>
          </w:tcPr>
          <w:p w14:paraId="4936E1BB" w14:textId="77777777" w:rsidR="008048B0" w:rsidRPr="00C835F1" w:rsidRDefault="008048B0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2"/>
            <w:vAlign w:val="center"/>
          </w:tcPr>
          <w:p w14:paraId="597EAC35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vAlign w:val="center"/>
          </w:tcPr>
          <w:p w14:paraId="6BA14EF5" w14:textId="77777777" w:rsidR="008048B0" w:rsidRPr="00C835F1" w:rsidRDefault="008048B0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8B0" w:rsidRPr="00C835F1" w14:paraId="02F6243C" w14:textId="77777777" w:rsidTr="009660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"/>
        </w:trPr>
        <w:tc>
          <w:tcPr>
            <w:tcW w:w="5000" w:type="pct"/>
            <w:gridSpan w:val="7"/>
            <w:vAlign w:val="center"/>
          </w:tcPr>
          <w:p w14:paraId="26BB8550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8B0" w:rsidRPr="00C835F1" w14:paraId="6C621280" w14:textId="77777777" w:rsidTr="009660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"/>
        </w:trPr>
        <w:tc>
          <w:tcPr>
            <w:tcW w:w="1100" w:type="pct"/>
            <w:gridSpan w:val="3"/>
            <w:vAlign w:val="center"/>
          </w:tcPr>
          <w:p w14:paraId="37D8C0ED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3002.59.99</w:t>
            </w:r>
          </w:p>
        </w:tc>
        <w:tc>
          <w:tcPr>
            <w:tcW w:w="1961" w:type="pct"/>
            <w:gridSpan w:val="2"/>
            <w:vAlign w:val="center"/>
          </w:tcPr>
          <w:p w14:paraId="116E279C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Align w:val="center"/>
          </w:tcPr>
          <w:p w14:paraId="49F2382E" w14:textId="77777777" w:rsidR="008048B0" w:rsidRPr="00C835F1" w:rsidRDefault="008048B0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virus de los Andes; de Chapare;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Chikungunya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Choclo; de la fiebre hemorrágica de Crimea-Congo; del dengue;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Dobrava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-Belgrado; de la encefalitis equina del Este; del Ébola;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Guanarito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Hantaan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Hendra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Morbillivirus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equino); de la encefalitis japonesa; Junín; del bosque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Kyasanur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Laguna Negra; de Lassa;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Louping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Virus Lujo; de la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coriomeningitis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linfocítica;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Machupo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Marburg; de la viruela del mono; de la encefalitis del Valle de Murray;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Nipah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fiebre hemorrágica de Omsk;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Oropouche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Powassan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fiebre del Valle del Rift; Rocío; Sabia; de Seúl; Virus Sin Nombre (SNV); de la encefalitis de San Luis; de la encefalitis de San Luis (Virus de la encefalitis rusa de primavera-verano); de la viruela; de la encefalitis equina venezolana, de la encefalitis equina del Oeste; de la fiebre amarilla; reconstrucción del virus de la gripe de 1918; coronavirus relacionado con el síndrome respiratorio agudo y grave (coronavirus relacionado con el SRAG); virus de la encefalitis transmitida por garrapatas Subtipo del Lejano Oriente; coronavirus del síndrome respiratorio de Oriente Medio (MERS-CoV); elementos genéticos y organismos modificados genéticamente: cualquier organismo modificado genéticamente que contenga, o elemento genético que codifique: cualquier gen o genes específicos de cualquier virus listado; o cualquier gen o genes específicos de cualquier bacteria u hongo enumerados, y que en sí mismo o a través de sus productos transcritos o traducidos representa un peligro significativo para la salud humana, animal o vegetal, o podría dotar o mejorar la patogenicidad; cualquier toxina listada o sus subunidades; las bacterias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Bacillus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anthracis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abortus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melitensis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Brucella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Chlamydophilia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psittaci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botulinum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argentinense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(antes conocido como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botulinum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G),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baratii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butyricum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cepas productoras de neurotoxina botulínica;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Francisella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tularensis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Burkholderia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Burkholderia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pseudomallei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Salmonella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typhi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dysenteriae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Vibrio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cholerae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Yersinia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pestis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perfringens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tipos productores de toxinas épsilon;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Escherichia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(STEC) de los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serogrupos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O26, O45, O103, O104, O111, O121, O145, O157, productores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toxina y otros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serogrupos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productores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shiga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toxina;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tetani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Legionella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pneumophila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y Yersinia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pseudotuberculosis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Coxiella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burnetii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Rickettsia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prowazekii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Otras especies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produzcan toxina botulínica; las toxinas botulínicas; Toxinas alfa, beta 1, beta 2, épsilon e iota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Clostridium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perfringens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Conotoxina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Shiga; Enterotoxinas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aureus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hemolisina alfa toxina, y toxina del síndrome del shock tóxico (antes conocida como enterotoxina F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Tetrodotoxina;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Verotoxina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Microcistina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Cianginosina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Aflatoxinas; Abrina; Toxina colérica;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diacetoxiscirpenol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Toxina T-2; Toxina HT-2;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modecina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Toxina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volkensina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Lectina 1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Viscum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album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Viscumina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y/o los hongos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Coccidioides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immitis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Coccidioides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posadasii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Fusarium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sporotrichioides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Fusarium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langsethiae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B942DD3" w14:textId="77777777" w:rsidR="00FE109A" w:rsidRPr="00C835F1" w:rsidRDefault="00FE109A" w:rsidP="00FE109A">
      <w:pPr>
        <w:spacing w:before="40" w:after="40" w:line="200" w:lineRule="exact"/>
        <w:jc w:val="center"/>
        <w:rPr>
          <w:rFonts w:ascii="Arial" w:hAnsi="Arial" w:cs="Arial"/>
          <w:b/>
          <w:sz w:val="16"/>
          <w:szCs w:val="16"/>
        </w:rPr>
      </w:pPr>
      <w:r w:rsidRPr="00C835F1">
        <w:rPr>
          <w:rFonts w:ascii="Arial" w:hAnsi="Arial" w:cs="Arial"/>
          <w:b/>
          <w:sz w:val="16"/>
          <w:szCs w:val="16"/>
        </w:rPr>
        <w:lastRenderedPageBreak/>
        <w:t>LISTA BASICA DE PATOGENOS VEGETALES PARA EL CONTROL DE LAS EXPORTACIONES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"/>
        <w:gridCol w:w="1894"/>
        <w:gridCol w:w="47"/>
        <w:gridCol w:w="3460"/>
        <w:gridCol w:w="18"/>
        <w:gridCol w:w="3404"/>
        <w:gridCol w:w="83"/>
      </w:tblGrid>
      <w:tr w:rsidR="00FE109A" w:rsidRPr="00C835F1" w14:paraId="7B74BFD4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6EAECD4B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4306A7B0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715BE513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6D6FF772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FE109A" w:rsidRPr="00C835F1" w14:paraId="42387921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2C1D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3002.49.99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375E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2DDB07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bacterias: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alibilineans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axonopodis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A) [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];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Clavibacter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michiganensis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Corynebacterium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michiganensis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Corynebacterium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Ralstonia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solanacearum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race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3,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biovar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2;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Xylella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fastidiosa; los hongos: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Colletotrichum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coffeanum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virulans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Colletotrichum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kahawae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Cochliobolus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miyabeanus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Helminthosporium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Microcyclus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ulei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Dothidella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ulei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stakmanii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syn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f.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tritici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]);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striiformis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glumarum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Magnaporthe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Pyricularia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Peronosclerospora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philippinensis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Peronosclerospora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sacchari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Sclerophthora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rayssiae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Zeae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Synchytrium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endobioticum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Tilletia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indica;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Thecaphora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solani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Deuterophoma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tracheiphila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Phoma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tracheiphila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Monilia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rorei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Moniliophthora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rorei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); y/o los virus: Virus latente de la patata andina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Tymovirus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latente de la patata andina); Viroide del tubérculo fusiforme de la patata y “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bunchy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top” del banano.</w:t>
            </w:r>
          </w:p>
        </w:tc>
      </w:tr>
      <w:tr w:rsidR="00FE109A" w:rsidRPr="00C835F1" w14:paraId="4050A228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BBBD0" w14:textId="77777777" w:rsidR="00FE109A" w:rsidRPr="00C835F1" w:rsidRDefault="00FE109A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0BF5B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C0A7" w14:textId="77777777" w:rsidR="00FE109A" w:rsidRPr="00C835F1" w:rsidRDefault="00FE109A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09A" w:rsidRPr="00C835F1" w14:paraId="20ADA68A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49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069AA0D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109A" w:rsidRPr="00C835F1" w14:paraId="08BB288C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AD2AD" w14:textId="77777777" w:rsidR="00FE109A" w:rsidRPr="00C835F1" w:rsidRDefault="00FE109A" w:rsidP="009660EE">
            <w:pPr>
              <w:spacing w:before="40" w:after="40" w:line="187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3002.59.99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08D2" w14:textId="77777777" w:rsidR="00FE109A" w:rsidRPr="00C835F1" w:rsidRDefault="00FE109A" w:rsidP="009660EE">
            <w:pPr>
              <w:spacing w:before="40" w:after="40" w:line="187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4C2F30" w14:textId="77777777" w:rsidR="00FE109A" w:rsidRPr="00C835F1" w:rsidRDefault="00FE109A" w:rsidP="009660EE">
            <w:pPr>
              <w:spacing w:before="40" w:after="40" w:line="187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bacterias: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alibilineans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axonopodis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A) [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citri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];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Xanthomonas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(Pseudomonas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campestris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pv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Clavibacter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michiganensis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Corynebacterium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michiganensis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Corynebacterium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sepedonicum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Ralstonia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solanacearum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race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3,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biovar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2;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Xylella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fastidiosa; los hongos: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Colletotrichum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coffeanum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virulans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Colletotrichum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kahawae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Cochliobolus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miyabeanus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Helminthosporium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Microcyclus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ulei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Dothidella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ulei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stakmanii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syn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graminis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f.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tritici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]);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striiformis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Puccinia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glumarum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Magnaporthe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Pyricularia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oryzae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Peronosclerospora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philippinensis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Peronosclerospora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sacchari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Sclerophthora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rayssiae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var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Zeae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Synchytrium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endobioticum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Tilletia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indica;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Thecaphora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solani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Deuterophoma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tracheiphila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Phoma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tracheiphila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Monilia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rorei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(sin.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Moniliophthora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rorei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); y/o los virus: Virus latente de la patata andina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Tymovirus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latente de la patata andina); Viroide del tubérculo fusiforme de la patata y “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bunchy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top” del banano.</w:t>
            </w:r>
          </w:p>
        </w:tc>
      </w:tr>
      <w:tr w:rsidR="00FE109A" w:rsidRPr="00C835F1" w14:paraId="2AB9D937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29C0" w14:textId="77777777" w:rsidR="00FE109A" w:rsidRPr="00C835F1" w:rsidRDefault="00FE109A" w:rsidP="009660EE">
            <w:pPr>
              <w:spacing w:before="40" w:after="40" w:line="187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68A4" w14:textId="77777777" w:rsidR="00FE109A" w:rsidRPr="00C835F1" w:rsidRDefault="00FE109A" w:rsidP="009660EE">
            <w:pPr>
              <w:spacing w:before="40" w:after="40" w:line="187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36C4" w14:textId="77777777" w:rsidR="00FE109A" w:rsidRPr="00C835F1" w:rsidRDefault="00FE109A" w:rsidP="009660EE">
            <w:pPr>
              <w:spacing w:before="40" w:after="40" w:line="187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09A" w:rsidRPr="00C835F1" w14:paraId="3BB08257" w14:textId="77777777" w:rsidTr="009660EE">
        <w:trPr>
          <w:trHeight w:val="14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A23B9" w14:textId="77777777" w:rsidR="00FE109A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EEEEB" w14:textId="67DF353C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LISTA BASICA DE PATOGENOS ANIMALES PARA EL CONTROL DE LAS EXPORTACIONES</w:t>
            </w:r>
          </w:p>
        </w:tc>
      </w:tr>
      <w:tr w:rsidR="00FE109A" w:rsidRPr="00C835F1" w14:paraId="7DD4ACF2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7D851CB1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76AAB160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0D63B27A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vAlign w:val="center"/>
          </w:tcPr>
          <w:p w14:paraId="44C2BCE0" w14:textId="77777777" w:rsidR="00FE109A" w:rsidRPr="00C835F1" w:rsidRDefault="00FE109A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FE109A" w:rsidRPr="00C835F1" w14:paraId="7D482BEF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BC5E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3002.49.99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571C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F8BBC4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Virus: de la peste porcina africana; de la influenza aviar2; de la lengua azul; de la fiebre aftosa; de la viruela caprina; del herpes (enfermedad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Aujeszky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del cólera porcino (sinónimo: virus de la peste porcina); de la rabia y otros miembros del género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Lyssavirus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enfermedad de Newcastle; de la peste de pequeños rumiantes; Enterovirus porcino tipo 9 (sinónimo: virus de la enfermedad vesicular porcina); de la peste bovina; de la viruela ovina; de la enfermedad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Teschen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estomatitis vesicular; de la dermatosis nodular; y de la peste equina; y/o las bacterias: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Mycoplasma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SC (colonia pequeña);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Mycoplasma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capricolum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capripneumoniae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(“cepa F38”).</w:t>
            </w:r>
          </w:p>
        </w:tc>
      </w:tr>
      <w:tr w:rsidR="00FE109A" w:rsidRPr="00C835F1" w14:paraId="3471FFCC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78F1" w14:textId="77777777" w:rsidR="00FE109A" w:rsidRPr="00C835F1" w:rsidRDefault="00FE109A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9EF9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A619" w14:textId="77777777" w:rsidR="00FE109A" w:rsidRPr="00C835F1" w:rsidRDefault="00FE109A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09A" w:rsidRPr="00C835F1" w14:paraId="04246BE0" w14:textId="77777777" w:rsidTr="009660EE">
        <w:trPr>
          <w:trHeight w:val="14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46F1279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109A" w:rsidRPr="00C835F1" w14:paraId="7E178892" w14:textId="77777777" w:rsidTr="009660EE">
        <w:trPr>
          <w:trHeight w:val="144"/>
        </w:trPr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B2188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15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3002.59.99</w:t>
            </w:r>
          </w:p>
        </w:tc>
        <w:tc>
          <w:tcPr>
            <w:tcW w:w="1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217E0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19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6AD26D" w14:textId="77777777" w:rsidR="00FE109A" w:rsidRPr="00C835F1" w:rsidRDefault="00FE109A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Virus: de la peste porcina africana; de la influenza aviar2; de la lengua azul; de la fiebre aftosa; de la viruela caprina; del herpes (enfermedad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Aujeszky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del cólera porcino (sinónimo: virus de la peste porcina); de la rabia y otros miembros del género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Lyssavirus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enfermedad de Newcastle; de la peste de pequeños rumiantes; Enterovirus porcino tipo 9 (sinónimo: virus de la enfermedad vesicular porcina); de la peste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bovina; de la viruela ovina; de la enfermedad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Teschen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de la estomatitis vesicular; de la dermatosis nodular; y de la peste equina; y/o las bacterias: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Mycoplasma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mycoides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SC (colonia pequeña);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Mycoplasma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capricolum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capripneumoniae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(“cepa F38”).</w:t>
            </w:r>
          </w:p>
        </w:tc>
      </w:tr>
    </w:tbl>
    <w:p w14:paraId="7619F1D1" w14:textId="77777777" w:rsidR="008048B0" w:rsidRDefault="008048B0"/>
    <w:sectPr w:rsidR="00804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B0"/>
    <w:rsid w:val="008048B0"/>
    <w:rsid w:val="00975B8A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253D"/>
  <w15:chartTrackingRefBased/>
  <w15:docId w15:val="{E0FA635B-1479-4853-B17C-5261529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7256</Words>
  <Characters>39911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Stephanie Gaona Rodriguez</dc:creator>
  <cp:keywords/>
  <dc:description/>
  <cp:lastModifiedBy>Monserrat Stephanie Gaona Rodriguez</cp:lastModifiedBy>
  <cp:revision>1</cp:revision>
  <dcterms:created xsi:type="dcterms:W3CDTF">2022-11-25T15:20:00Z</dcterms:created>
  <dcterms:modified xsi:type="dcterms:W3CDTF">2022-11-25T15:38:00Z</dcterms:modified>
</cp:coreProperties>
</file>